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jc w:val="center"/>
        <w:rPr>
          <w:sz w:val="200"/>
          <w:szCs w:val="2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jc w:val="center"/>
        <w:rPr>
          <w:sz w:val="350"/>
          <w:szCs w:val="350"/>
        </w:rPr>
      </w:pPr>
      <w:r w:rsidDel="00000000" w:rsidR="00000000" w:rsidRPr="00000000">
        <w:rPr>
          <w:sz w:val="350"/>
          <w:szCs w:val="350"/>
          <w:rtl w:val="0"/>
        </w:rPr>
        <w:t xml:space="preserve">Polluted</w:t>
      </w:r>
    </w:p>
    <w:p w:rsidR="00000000" w:rsidDel="00000000" w:rsidP="00000000" w:rsidRDefault="00000000" w:rsidRPr="00000000" w14:paraId="00000002">
      <w:pPr>
        <w:jc w:val="center"/>
        <w:rPr>
          <w:sz w:val="300"/>
          <w:szCs w:val="300"/>
        </w:rPr>
      </w:pPr>
      <w:r w:rsidDel="00000000" w:rsidR="00000000" w:rsidRPr="00000000">
        <w:rPr>
          <w:sz w:val="300"/>
          <w:szCs w:val="300"/>
          <w:rtl w:val="0"/>
        </w:rPr>
        <w:t xml:space="preserve">Not Polluted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